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1"/>
        <w:bidi w:val="0"/>
        <w:rPr/>
      </w:pPr>
      <w:r>
        <w:rPr/>
        <w:t>Зарегистрировано в Минюсте России 29 декабря 2023 г. N 76769</w:t>
      </w:r>
    </w:p>
    <w:p>
      <w:pPr>
        <w:pStyle w:val="Style31"/>
        <w:bidi w:val="0"/>
        <w:spacing w:lineRule="atLeast" w:line="285" w:before="165" w:after="0"/>
        <w:jc w:val="both"/>
        <w:rPr>
          <w:b w:val="false"/>
        </w:rPr>
      </w:pPr>
      <w:r>
        <w:rPr>
          <w:b w:val="false"/>
        </w:rPr>
        <w:t xml:space="preserve">------------------------------------------------------------------ </w:t>
      </w:r>
    </w:p>
    <w:p>
      <w:pPr>
        <w:pStyle w:val="Style31"/>
        <w:bidi w:val="0"/>
        <w:spacing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МИНИСТЕРСТВО ПРОСВЕЩЕНИЯ РОССИЙСКОЙ ФЕДЕРАЦИИ 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ПРИКАЗ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от 30 ноября 2023 г. N 907 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ОБ УТВЕРЖДЕНИИ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ФЕДЕРАЛЬНОГО ГОСУДАРСТВЕННОГО ОБРАЗОВАТЕЛЬНОГО СТАНДАРТА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СПЕЦИАЛЬНОСТИ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15.02.19 СВАРОЧНОЕ ПРОИЗВОДСТВО </w:t>
      </w:r>
    </w:p>
    <w:p>
      <w:pPr>
        <w:pStyle w:val="Style31"/>
        <w:bidi w:val="0"/>
        <w:spacing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В соответствии с </w:t>
      </w:r>
      <w:hyperlink r:id="rId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подпунктом 4.2.30 пункта 4</w:t>
        </w:r>
      </w:hyperlink>
      <w:r>
        <w:rPr>
          <w:b w:val="false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r:id="rId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27</w:t>
        </w:r>
      </w:hyperlink>
      <w:r>
        <w:rPr>
          <w:b w:val="false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 Утвердить прилагаемый федеральный государственный образовательный </w:t>
      </w:r>
      <w:hyperlink w:anchor="p3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среднего профессионального образования по специальности 15.02.19 Сварочное производство (далее - стандарт).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 Установить, что: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образовательная организация вправе осуществлять в соответствии со </w:t>
      </w:r>
      <w:hyperlink w:anchor="p3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обучение лиц, зачисленных до вступления в силу настоящего приказа, с их согласия;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прием на обучение в соответствии с федеральным государственным образовательным </w:t>
      </w:r>
      <w:hyperlink r:id="rId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среднего профессионального образования по специальности </w:t>
      </w:r>
      <w:hyperlink r:id="rId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22.02.06</w:t>
        </w:r>
      </w:hyperlink>
      <w:r>
        <w:rPr>
          <w:b w:val="false"/>
        </w:rPr>
        <w:t xml:space="preserve"> Сварочное производство, утвержденным приказом Министерства образования и науки Российской Федерации от 21 апреля 2014 г. N 360 (зарегистрирован Министерством юстиции Российской Федерации 27 июня 2014 г., регистрационный N 32877), с изменениями, внесенными приказом Министерства образования и науки Российской Федерации от 9 апреля 2015 г. N 389 (зарегистрирован Министерством юстиции Российской Федерации 8 мая 2015 г., регистрационный N 37216), и приказами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 и от 1 сентября 2022 г. N 796 (зарегистрирован Министерством юстиции Российской Федерации 11 октября 2022 г., регистрационный N 70461), прекращается с 31 декабря 2024 года.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Министр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С.С.КРАВЦОВ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Утвержден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приказом Министерства просвещения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Российской Федерации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от 30 ноября 2023 г. N 907 </w:t>
      </w:r>
    </w:p>
    <w:p>
      <w:pPr>
        <w:pStyle w:val="Style31"/>
        <w:bidi w:val="0"/>
        <w:spacing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bookmarkStart w:id="0" w:name="p31"/>
      <w:bookmarkEnd w:id="0"/>
      <w:r>
        <w:rPr>
          <w:rFonts w:ascii="Arial" w:hAnsi="Arial"/>
          <w:b/>
          <w:sz w:val="24"/>
        </w:rPr>
        <w:t xml:space="preserve">ФЕДЕРАЛЬНЫЙ ГОСУДАРСТВЕННЫЙ ОБРАЗОВАТЕЛЬНЫЙ СТАНДАРТ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СПЕЦИАЛЬНОСТИ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15.02.19 СВАРОЧНОЕ ПРОИЗВОДСТВО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I. ОБЩИЕ ПОЛОЖЕНИЯ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bookmarkStart w:id="1" w:name="p37"/>
      <w:bookmarkEnd w:id="1"/>
      <w:r>
        <w:rPr>
          <w:b w:val="false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15.02.19 Сварочное производство (далее соответственно - ФГОС СПО, образовательная программа, специальность) в соответствии с квалификацией специалиста среднего звена "техник" &lt;1&gt;.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&lt;1&gt; </w:t>
      </w:r>
      <w:hyperlink r:id="rId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Перечень</w:t>
        </w:r>
      </w:hyperlink>
      <w:r>
        <w:rPr>
          <w:b w:val="false"/>
        </w:rP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68887), с изменениями, внесенными приказами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 и от 25 сентября 2023 г. N 717 (зарегистрирован Министерством юстиции Российской Федерации 26 октября 2023 г., регистрационный N 75754).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стандарта</w:t>
        </w:r>
      </w:hyperlink>
      <w:r>
        <w:rPr>
          <w:b w:val="false"/>
        </w:rPr>
        <w:t xml:space="preserve"> среднего общего образования &lt;2&gt; и ФГОС СПО с учетом получаемой специальности.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&lt;2&gt; Федеральный государственный образовательный </w:t>
      </w:r>
      <w:hyperlink r:id="rId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 и от 12 августа 2022 г. N 732 (зарегистрирован Министерством юстиции Российской Федерации 12 сентября 2022 г., регистрационный N 70034).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1.4. Обучение по образовательной программе в образовательной организации осуществляется в очной, очно-заочной и заочной формах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1.6. Реализация образовательной программы осуществляется образовательной организацией как самостоятельно, так и посредством сетевой формы.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Образовательная деятельность при освоении образовательной программы или отдельных ее компонентов организуется в форме практической подготовки.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&lt;3&gt; </w:t>
      </w:r>
      <w:hyperlink r:id="rId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Часть 2 статьи 12.1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&lt;4&gt; </w:t>
      </w:r>
      <w:hyperlink r:id="rId1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Статья 14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bookmarkStart w:id="2" w:name="p59"/>
      <w:bookmarkEnd w:id="2"/>
      <w:r>
        <w:rPr>
          <w:b w:val="false"/>
        </w:rPr>
        <w:t xml:space="preserve"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среднего общего образования - 2 года 10 месяцев;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основного общего образования - 3 года 10 месяцев.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5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1.9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1.13.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ФГОС СПО &lt;5&gt;.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&lt;5&gt; </w:t>
      </w:r>
      <w:hyperlink r:id="rId1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 11</w:t>
        </w:r>
      </w:hyperlink>
      <w:r>
        <w:rPr>
          <w:b w:val="false"/>
        </w:rP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387, действующим до 1 января 2026 г.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bookmarkStart w:id="3" w:name="p71"/>
      <w:bookmarkEnd w:id="3"/>
      <w:r>
        <w:rPr>
          <w:b w:val="false"/>
        </w:rPr>
        <w:t xml:space="preserve">1.14.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</w:t>
      </w:r>
      <w:hyperlink r:id="rId1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16</w:t>
        </w:r>
      </w:hyperlink>
      <w:r>
        <w:rPr>
          <w:b w:val="false"/>
        </w:rPr>
        <w:t xml:space="preserve"> Строительство и жилищно-коммунальное хозяйство, </w:t>
      </w:r>
      <w:hyperlink r:id="rId1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27</w:t>
        </w:r>
      </w:hyperlink>
      <w:r>
        <w:rPr>
          <w:b w:val="false"/>
        </w:rPr>
        <w:t xml:space="preserve"> Металлургическое производство, </w:t>
      </w:r>
      <w:hyperlink r:id="rId1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28</w:t>
        </w:r>
      </w:hyperlink>
      <w:r>
        <w:rPr>
          <w:b w:val="false"/>
        </w:rPr>
        <w:t xml:space="preserve"> Производство машин и оборудования, </w:t>
      </w:r>
      <w:hyperlink r:id="rId1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40</w:t>
        </w:r>
      </w:hyperlink>
      <w:r>
        <w:rPr>
          <w:b w:val="false"/>
        </w:rPr>
        <w:t xml:space="preserve"> Сквозные виды профессиональной деятельности в промышленности &lt;6&gt;.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&lt;6&gt; </w:t>
      </w:r>
      <w:hyperlink r:id="rId1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Таблица</w:t>
        </w:r>
      </w:hyperlink>
      <w:r>
        <w:rPr>
          <w:b w:val="false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1.15. При разработке образовательной программы образовательная организация устанавливает направленность, которая соответствует специальности в целом, с учетом соответствующей ПОП.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II. ТРЕБОВАНИЯ К СТРУКТУРЕ 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2.1. Структура и объем образовательной программы </w:t>
      </w:r>
      <w:hyperlink w:anchor="p8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(таблица N 1)</w:t>
        </w:r>
      </w:hyperlink>
      <w:r>
        <w:rPr>
          <w:b w:val="false"/>
        </w:rPr>
        <w:t xml:space="preserve"> включают: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дисциплины (модули);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практику;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государственную итоговую аттестацию.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N 1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bookmarkStart w:id="4" w:name="p87"/>
      <w:bookmarkEnd w:id="4"/>
      <w:r>
        <w:rPr/>
        <w:t xml:space="preserve">Структура и объем образовательной программы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06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755"/>
        <w:gridCol w:w="4305"/>
      </w:tblGrid>
      <w:tr>
        <w:trPr/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Структура образовательной программы </w:t>
            </w:r>
          </w:p>
        </w:tc>
        <w:tc>
          <w:tcPr>
            <w:tcW w:w="4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Объем образовательной программы, в академических часах </w:t>
            </w:r>
          </w:p>
        </w:tc>
      </w:tr>
      <w:tr>
        <w:trPr/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Дисциплины (модули) </w:t>
            </w:r>
          </w:p>
        </w:tc>
        <w:tc>
          <w:tcPr>
            <w:tcW w:w="4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Не менее 2052 </w:t>
            </w:r>
          </w:p>
        </w:tc>
      </w:tr>
      <w:tr>
        <w:trPr/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Практика </w:t>
            </w:r>
          </w:p>
        </w:tc>
        <w:tc>
          <w:tcPr>
            <w:tcW w:w="4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Не менее 900 </w:t>
            </w:r>
          </w:p>
        </w:tc>
      </w:tr>
      <w:tr>
        <w:trPr/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Государственная итоговая аттестация </w:t>
            </w:r>
          </w:p>
        </w:tc>
        <w:tc>
          <w:tcPr>
            <w:tcW w:w="4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216 </w:t>
            </w:r>
          </w:p>
        </w:tc>
      </w:tr>
      <w:tr>
        <w:trPr/>
        <w:tc>
          <w:tcPr>
            <w:tcW w:w="90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Общий объем образовательной программы: </w:t>
            </w:r>
          </w:p>
        </w:tc>
      </w:tr>
      <w:tr>
        <w:trPr/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на базе среднего общего образования </w:t>
            </w:r>
          </w:p>
        </w:tc>
        <w:tc>
          <w:tcPr>
            <w:tcW w:w="4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4464 </w:t>
            </w:r>
          </w:p>
        </w:tc>
      </w:tr>
      <w:tr>
        <w:trPr/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 </w:t>
            </w:r>
          </w:p>
        </w:tc>
        <w:tc>
          <w:tcPr>
            <w:tcW w:w="4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5940 </w:t>
            </w:r>
          </w:p>
        </w:tc>
      </w:tr>
    </w:tbl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2.2. Образовательная программа включает: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социально-гуманитарный цикл;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общепрофессиональный цикл;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профессиональный цикл.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2.3. В рамках образовательной программы выделяются обязательная часть и часть, формируемая участниками образовательных отношений (вариативная часть).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главой III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bookmarkStart w:id="5" w:name="p112"/>
      <w:bookmarkEnd w:id="5"/>
      <w:r>
        <w:rPr>
          <w:b w:val="false"/>
        </w:rPr>
        <w:t xml:space="preserve"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подготовка и осуществление технологических процессов изготовления сварных конструкций;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разработка технологических процессов и проектирование изделий;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контроль качества сварочных работ;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организация и планирование работ на сборочно-сварочном участке.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1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2.4</w:t>
        </w:r>
      </w:hyperlink>
      <w:r>
        <w:rPr>
          <w:b w:val="false"/>
        </w:rPr>
        <w:t xml:space="preserve"> ФГОС СПО, в рамках вариативной части.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грамотности", "Основы бережливого производства".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2.8. Обязательная часть общепрофессионального цикла образовательной программы должна предусматривать изучение следующих дисциплин: "Информационные технологии в профессиональной деятельности", "Охрана труда", "Экономика организации", "Менеджмент", "Инженерная графика", "Техническая механика", "Материаловедение", "Электротехника и электроника", "Метрология, стандартизация и сертификация", "Технологические процессы в машиностроении".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2.9. Профессиональный цикл образовательной программы включает профессиональные модули, которые формируются в соответствии с видами деятельности, предусмотренными </w:t>
      </w:r>
      <w:hyperlink w:anchor="p11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4 зачетных единиц.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2.12. Государственная итоговая аттестация проводится в форме демонстрационного экзамена и защиты дипломного проекта (работы).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3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bookmarkStart w:id="6" w:name="p132"/>
      <w:bookmarkEnd w:id="6"/>
      <w:r>
        <w:rPr>
          <w:rFonts w:ascii="Arial" w:hAnsi="Arial"/>
          <w:b/>
          <w:sz w:val="24"/>
        </w:rPr>
        <w:t>III. ТРЕБОВАНИЯ К РЕЗУЛЬТАТАМ ОСВОЕНИЯ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3.1. В результате освоения образовательной программы у выпускника должны быть сформированы общие и профессиональные компетенции.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3.2. Выпускник, освоивший образовательную программу, должен обладать следующими общими компетенциями (далее - ОК):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04. Эффективно взаимодействовать и работать в коллективе и команде;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09. Пользоваться профессиональной документацией на государственном и иностранном языках.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видам деятельности (таблица N 2), предусмотренным </w:t>
      </w:r>
      <w:hyperlink w:anchor="p11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сформированными в том числе на основе профессиональных стандартов (при наличии), указанных в ПОП: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N 2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1020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080"/>
        <w:gridCol w:w="6120"/>
      </w:tblGrid>
      <w:tr>
        <w:trPr/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Виды деятельности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Профессиональные компетенции, соответствующие видам деятельности </w:t>
            </w:r>
          </w:p>
        </w:tc>
      </w:tr>
      <w:tr>
        <w:trPr/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подготовка и осуществление технологических процессов изготовления сварных конструкций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1.1. Выбирать методы, способы и приемы сборки и сварки конструкций с учетом условий производства.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1.2. Выполнять техническую подготовку производства сварных конструкций.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1.3. Выбирать основные и сварочные материалы, оборудование, приспособления и инструменты для обеспечения производства сварных соединений с заданными свойствами.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1.4. Обеспечивать необходимые условия хранения и использования основных и сварочных материалов, исправное состояние сварочного оборудования, оснастки и инструмента. </w:t>
            </w:r>
          </w:p>
        </w:tc>
      </w:tr>
      <w:tr>
        <w:trPr/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разработка технологических процессов и проектирование изделий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2.1. Выполнять проектирование технологических процессов производства сварных конструкций с заданными свойствами.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2.2. Выбирать вид и параметры режимов обработки материала с учетом применяемой технологии.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2.3. Осуществлять технико-экономическое обоснование выбранного технологического процесса.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2.4. Оформлять конструкторскую, технологическую и техническую документацию в соответствии с нормативными документами.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2.5. Осуществлять разработку и оформление графических, вычислительных и проектных работ с использованием систем автоматизированного проектирования. </w:t>
            </w:r>
          </w:p>
        </w:tc>
      </w:tr>
      <w:tr>
        <w:trPr/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контроль качества сварочных работ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3.1. Определять причины, приводящие к образованию дефектов в сварных соединениях.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3.2. Осуществлять контроль качества сварных соединений на соответствие требованиям технологической документации.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3.3. Разрабатывать меры по предупреждению и устранению дефектов сварных соединений и изделий. </w:t>
            </w:r>
          </w:p>
        </w:tc>
      </w:tr>
      <w:tr>
        <w:trPr/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организация и планирование работ на сборочно-сварочном участке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ПК 4.1. Осуществлять текущее и перспективное планирование производственных работ.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4.2. Производить технологические расчеты на основе нормативов технологических режимов, трудовых и материальных затрат.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4.3. Разрабатывать предложения по повышению эффективности производства.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4.4. Организовывать ремонт и техническое обслуживание сварочного оборудования. </w:t>
            </w:r>
          </w:p>
          <w:p>
            <w:pPr>
              <w:pStyle w:val="Style59"/>
              <w:bidi w:val="0"/>
              <w:spacing w:lineRule="atLeast" w:line="285" w:before="0" w:after="283"/>
              <w:rPr/>
            </w:pPr>
            <w:r>
              <w:rPr/>
              <w:t xml:space="preserve">ПК 4.5. Обеспечивать безопасные условия труда и профилактику травматизма на сборочно-сварочном участке. </w:t>
            </w:r>
          </w:p>
        </w:tc>
      </w:tr>
    </w:tbl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1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3.6. Обучающиеся, осваивающие образовательную программу, осваивают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&lt;7&gt;.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&lt;7&gt; </w:t>
      </w:r>
      <w:hyperlink r:id="rId1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Часть 7 статьи 73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IV. ТРЕБОВАНИЯ К УСЛОВИЯМ РЕАЛИЗАЦИИ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&lt;8&gt;.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&lt;8&gt; Федеральный </w:t>
      </w:r>
      <w:hyperlink r:id="rId1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закон</w:t>
        </w:r>
      </w:hyperlink>
      <w:r>
        <w:rPr>
          <w:b w:val="false"/>
        </w:rPr>
        <w:t xml:space="preserve"> от 30 марта 1999 г. N 52-ФЗ "О санитарно-эпидемиологическом благополучии населения"; санитарные правила </w:t>
      </w:r>
      <w:hyperlink r:id="rId1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СП 2.4.3648-20</w:t>
        </w:r>
      </w:hyperlink>
      <w:r>
        <w:rPr>
          <w:b w:val="false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г.; санитарно-эпидемиологические правила и нормы </w:t>
      </w:r>
      <w:hyperlink r:id="rId2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СанПиН 2.3/2.4.3590-20</w:t>
        </w:r>
      </w:hyperlink>
      <w:r>
        <w:rPr>
          <w:b w:val="false"/>
        </w:rP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действующие до 1 января 2027 г.; санитарные правила и нормы </w:t>
      </w:r>
      <w:hyperlink r:id="rId2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СанПиН 1.2.3685-21</w:t>
        </w:r>
      </w:hyperlink>
      <w:r>
        <w:rPr>
          <w:b w:val="false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 марта 2027 г.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4.3. Общесистемные требования к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4.4. Требования к материально-техническому и учебно-методическому обеспечению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г) допускается замена оборудования его виртуальными аналогами;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ж) в качестве основной литературы образовательная организация использует учебники, учебные пособия, предусмотренные ПОП;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м) рекомендации по иному материально-техническому и учебно-методическому обеспечению реализации образовательной программы определяются ПОП.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4.5. Требования к кадровым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одной из областей профессиональной деятельности, указанных в </w:t>
      </w:r>
      <w:hyperlink w:anchor="p7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1.14</w:t>
        </w:r>
      </w:hyperlink>
      <w:r>
        <w:rPr>
          <w:b w:val="false"/>
        </w:rPr>
        <w:t xml:space="preserve"> ФГОС СПО (имеющих стаж работы в данной профессиональной области не менее трех лет);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7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1.14</w:t>
        </w:r>
      </w:hyperlink>
      <w:r>
        <w:rPr>
          <w:b w:val="false"/>
        </w:rP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7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1.14</w:t>
        </w:r>
      </w:hyperlink>
      <w:r>
        <w:rPr>
          <w:b w:val="false"/>
        </w:rP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4.6. Требование к финансовым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&lt;9&gt; и Федеральным </w:t>
      </w:r>
      <w:hyperlink r:id="rId2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законом</w:t>
        </w:r>
      </w:hyperlink>
      <w:r>
        <w:rPr>
          <w:b w:val="false"/>
        </w:rPr>
        <w:t xml:space="preserve"> от 29 декабря 2012 г. N 273-ФЗ "Об образовании в Российской Федерации".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&lt;9&gt; Бюджетный </w:t>
      </w:r>
      <w:hyperlink r:id="rId2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кодекс</w:t>
        </w:r>
      </w:hyperlink>
      <w:r>
        <w:rPr>
          <w:b w:val="false"/>
        </w:rPr>
        <w:t xml:space="preserve"> Российской Федерации.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4.7. Требования к применяемым механизмам оценки качества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качество образовательной программы определяется в рамках системы внутренней оценки, а также системы внешней оценки на добровольной основе;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8"/>
        <w:bidi w:val="0"/>
        <w:rPr/>
      </w:pPr>
      <w:r>
        <w:rPr/>
      </w:r>
    </w:p>
    <w:sectPr>
      <w:headerReference w:type="default" r:id="rId24"/>
      <w:footerReference w:type="default" r:id="rId25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Arial">
    <w:charset w:val="01"/>
    <w:family w:val="auto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login.consultant.ru/link/?req=doc&amp;base=LAW&amp;n=488439&amp;dst=100051&amp;field=134&amp;date=26.11.2024" TargetMode="External"/><Relationship Id="rId3" Type="http://schemas.openxmlformats.org/officeDocument/2006/relationships/hyperlink" Target="http://login.consultant.ru/link/?req=doc&amp;base=LAW&amp;n=481262&amp;dst=100072&amp;field=134&amp;date=26.11.2024" TargetMode="External"/><Relationship Id="rId4" Type="http://schemas.openxmlformats.org/officeDocument/2006/relationships/hyperlink" Target="http://login.consultant.ru/link/?req=doc&amp;base=LAW&amp;n=429093&amp;dst=100012&amp;field=134&amp;date=26.11.2024" TargetMode="External"/><Relationship Id="rId5" Type="http://schemas.openxmlformats.org/officeDocument/2006/relationships/hyperlink" Target="http://login.consultant.ru/link/?req=doc&amp;base=LAW&amp;n=377712&amp;dst=101342&amp;field=134&amp;date=26.11.2024" TargetMode="External"/><Relationship Id="rId6" Type="http://schemas.openxmlformats.org/officeDocument/2006/relationships/hyperlink" Target="http://login.consultant.ru/link/?req=doc&amp;base=LAW&amp;n=477946&amp;dst=100562&amp;field=134&amp;date=26.11.2024" TargetMode="External"/><Relationship Id="rId7" Type="http://schemas.openxmlformats.org/officeDocument/2006/relationships/hyperlink" Target="http://login.consultant.ru/link/?req=doc&amp;base=LAW&amp;n=470946&amp;dst=4&amp;field=134&amp;date=26.11.2024" TargetMode="External"/><Relationship Id="rId8" Type="http://schemas.openxmlformats.org/officeDocument/2006/relationships/hyperlink" Target="http://login.consultant.ru/link/?req=doc&amp;base=LAW&amp;n=470946&amp;dst=4&amp;field=134&amp;date=26.11.2024" TargetMode="External"/><Relationship Id="rId9" Type="http://schemas.openxmlformats.org/officeDocument/2006/relationships/hyperlink" Target="http://login.consultant.ru/link/?req=doc&amp;base=LAW&amp;n=470336&amp;dst=774&amp;field=134&amp;date=26.11.2024" TargetMode="External"/><Relationship Id="rId10" Type="http://schemas.openxmlformats.org/officeDocument/2006/relationships/hyperlink" Target="http://login.consultant.ru/link/?req=doc&amp;base=LAW&amp;n=470336&amp;dst=100249&amp;field=134&amp;date=26.11.2024" TargetMode="External"/><Relationship Id="rId11" Type="http://schemas.openxmlformats.org/officeDocument/2006/relationships/hyperlink" Target="http://login.consultant.ru/link/?req=doc&amp;base=LAW&amp;n=411930&amp;dst=100030&amp;field=134&amp;date=26.11.2024" TargetMode="External"/><Relationship Id="rId12" Type="http://schemas.openxmlformats.org/officeDocument/2006/relationships/hyperlink" Target="http://login.consultant.ru/link/?req=doc&amp;base=LAW&amp;n=214720&amp;dst=100080&amp;field=134&amp;date=26.11.2024" TargetMode="External"/><Relationship Id="rId13" Type="http://schemas.openxmlformats.org/officeDocument/2006/relationships/hyperlink" Target="http://login.consultant.ru/link/?req=doc&amp;base=LAW&amp;n=214720&amp;dst=100102&amp;field=134&amp;date=26.11.2024" TargetMode="External"/><Relationship Id="rId14" Type="http://schemas.openxmlformats.org/officeDocument/2006/relationships/hyperlink" Target="http://login.consultant.ru/link/?req=doc&amp;base=LAW&amp;n=214720&amp;dst=100104&amp;field=134&amp;date=26.11.2024" TargetMode="External"/><Relationship Id="rId15" Type="http://schemas.openxmlformats.org/officeDocument/2006/relationships/hyperlink" Target="http://login.consultant.ru/link/?req=doc&amp;base=LAW&amp;n=214720&amp;dst=100116&amp;field=134&amp;date=26.11.2024" TargetMode="External"/><Relationship Id="rId16" Type="http://schemas.openxmlformats.org/officeDocument/2006/relationships/hyperlink" Target="http://login.consultant.ru/link/?req=doc&amp;base=LAW&amp;n=214720&amp;dst=100047&amp;field=134&amp;date=26.11.2024" TargetMode="External"/><Relationship Id="rId17" Type="http://schemas.openxmlformats.org/officeDocument/2006/relationships/hyperlink" Target="http://login.consultant.ru/link/?req=doc&amp;base=LAW&amp;n=470336&amp;dst=415&amp;field=134&amp;date=26.11.2024" TargetMode="External"/><Relationship Id="rId18" Type="http://schemas.openxmlformats.org/officeDocument/2006/relationships/hyperlink" Target="http://login.consultant.ru/link/?req=doc&amp;base=LAW&amp;n=483030&amp;date=26.11.2024" TargetMode="External"/><Relationship Id="rId19" Type="http://schemas.openxmlformats.org/officeDocument/2006/relationships/hyperlink" Target="http://login.consultant.ru/link/?req=doc&amp;base=LAW&amp;n=371594&amp;dst=100047&amp;field=134&amp;date=26.11.2024" TargetMode="External"/><Relationship Id="rId20" Type="http://schemas.openxmlformats.org/officeDocument/2006/relationships/hyperlink" Target="http://login.consultant.ru/link/?req=doc&amp;base=LAW&amp;n=367564&amp;dst=100037&amp;field=134&amp;date=26.11.2024" TargetMode="External"/><Relationship Id="rId21" Type="http://schemas.openxmlformats.org/officeDocument/2006/relationships/hyperlink" Target="http://login.consultant.ru/link/?req=doc&amp;base=LAW&amp;n=441707&amp;dst=100137&amp;field=134&amp;date=26.11.2024" TargetMode="External"/><Relationship Id="rId22" Type="http://schemas.openxmlformats.org/officeDocument/2006/relationships/hyperlink" Target="http://login.consultant.ru/link/?req=doc&amp;base=LAW&amp;n=470336&amp;date=26.11.2024" TargetMode="External"/><Relationship Id="rId23" Type="http://schemas.openxmlformats.org/officeDocument/2006/relationships/hyperlink" Target="http://login.consultant.ru/link/?req=doc&amp;base=LAW&amp;n=469774&amp;date=26.11.2024" TargetMode="External"/><Relationship Id="rId24" Type="http://schemas.openxmlformats.org/officeDocument/2006/relationships/header" Target="header1.xml"/><Relationship Id="rId25" Type="http://schemas.openxmlformats.org/officeDocument/2006/relationships/footer" Target="footer1.xm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LibreOffice/7.5.6.2$Linux_X86_64 LibreOffice_project/50$Build-2</Application>
  <AppVersion>15.0000</AppVersion>
  <Pages>17</Pages>
  <Words>3691</Words>
  <Characters>28702</Characters>
  <CharactersWithSpaces>32462</CharactersWithSpaces>
  <Paragraphs>236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2024-11-26T10:56:36Z</dcterms:created>
  <dc:creator/>
  <dc:description/>
  <dc:language>ru-RU</dc:language>
  <cp:lastModifiedBy/>
  <dcterms:modified xsi:type="dcterms:W3CDTF">2024-11-26T10:58:18Z</dcterms:modified>
  <cp:revision>2</cp:revision>
  <dc:subject/>
  <dc:title>Default</dc:title>
</cp:coreProperties>
</file>